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11246.999999999998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20"/>
        <w:gridCol w:w="3473"/>
        <w:gridCol w:w="4054"/>
        <w:tblGridChange w:id="0">
          <w:tblGrid>
            <w:gridCol w:w="3720"/>
            <w:gridCol w:w="3473"/>
            <w:gridCol w:w="4054"/>
          </w:tblGrid>
        </w:tblGridChange>
      </w:tblGrid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وزارة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المــــالية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( 40 )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لجان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لجان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الضريبي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موصى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مصحوبا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بعلم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الوصول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)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إعـلان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بقـرار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الطعـن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bidiVisual w:val="1"/>
        <w:tblW w:w="1126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79"/>
        <w:gridCol w:w="1219"/>
        <w:gridCol w:w="1100"/>
        <w:gridCol w:w="2999"/>
        <w:gridCol w:w="720"/>
        <w:gridCol w:w="600"/>
        <w:gridCol w:w="674"/>
        <w:gridCol w:w="890"/>
        <w:gridCol w:w="388"/>
        <w:gridCol w:w="507"/>
        <w:gridCol w:w="884"/>
        <w:tblGridChange w:id="0">
          <w:tblGrid>
            <w:gridCol w:w="1279"/>
            <w:gridCol w:w="1219"/>
            <w:gridCol w:w="1100"/>
            <w:gridCol w:w="2999"/>
            <w:gridCol w:w="720"/>
            <w:gridCol w:w="600"/>
            <w:gridCol w:w="674"/>
            <w:gridCol w:w="890"/>
            <w:gridCol w:w="388"/>
            <w:gridCol w:w="507"/>
            <w:gridCol w:w="88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العاشره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قطاع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القاهرة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الكبري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والأسكندريه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وشمال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الصعيد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لسنـة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السيـد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زكي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عبد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</w:tc>
      </w:tr>
      <w:tr>
        <w:trPr>
          <w:cantSplit w:val="0"/>
          <w:trHeight w:val="5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3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1057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شارع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كورنيش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النيل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-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مصر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القديمه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88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5/92/20/171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 xml:space="preserve">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نتشرف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بإبلاغ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سيادتكم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بأن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قررت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بجلستها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المنعقدة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بتاريخ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18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36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2018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بتحديد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الضريبة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2010/2012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الوجه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الآتي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كما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موضح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بالقرار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المرفق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bidiVisual w:val="1"/>
        <w:tblW w:w="11395.0" w:type="dxa"/>
        <w:jc w:val="center"/>
        <w:tblLayout w:type="fixed"/>
        <w:tblLook w:val="0000"/>
      </w:tblPr>
      <w:tblGrid>
        <w:gridCol w:w="7190"/>
        <w:gridCol w:w="485"/>
        <w:gridCol w:w="3720"/>
        <w:tblGridChange w:id="0">
          <w:tblGrid>
            <w:gridCol w:w="7190"/>
            <w:gridCol w:w="485"/>
            <w:gridCol w:w="37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ومرسل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المذكور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ورحمة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وبركاته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تحريرا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المستشار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شحاته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أبوزيد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مجلس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bidiVisual w:val="1"/>
        <w:tblW w:w="11395.0" w:type="dxa"/>
        <w:jc w:val="center"/>
        <w:tblLayout w:type="fixed"/>
        <w:tblLook w:val="0000"/>
      </w:tblPr>
      <w:tblGrid>
        <w:gridCol w:w="3595"/>
        <w:gridCol w:w="4080"/>
        <w:gridCol w:w="3720"/>
        <w:tblGridChange w:id="0">
          <w:tblGrid>
            <w:gridCol w:w="3595"/>
            <w:gridCol w:w="4080"/>
            <w:gridCol w:w="37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مرسلة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مأمورية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ضرائب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المنيل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إعلانا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ومرفق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معه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المذكور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للعلم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وإجراء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اللازم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ورحمة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وبركاته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تحريرا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المستشار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شحاته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أبوزيد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مجلس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4216400</wp:posOffset>
                </wp:positionH>
                <wp:positionV relativeFrom="paragraph">
                  <wp:posOffset>-228599</wp:posOffset>
                </wp:positionV>
                <wp:extent cx="2371725" cy="143827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164900" y="3065625"/>
                          <a:ext cx="2362200" cy="1428750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 cap="flat" cmpd="sng" w="9525">
                          <a:solidFill>
                            <a:srgbClr val="333333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4216400</wp:posOffset>
                </wp:positionH>
                <wp:positionV relativeFrom="paragraph">
                  <wp:posOffset>-228599</wp:posOffset>
                </wp:positionV>
                <wp:extent cx="2371725" cy="143827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1725" cy="1438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5"/>
          <w:tab w:val="left" w:pos="1236"/>
        </w:tabs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</w:t>
        <w:tab/>
        <w:tab/>
        <w:t xml:space="preserve">      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المنعقدة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بمقر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بالعنوان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15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منصور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لاظوغلى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القاهرة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28/8/2018.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برئاسة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شحاتة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زيد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"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مجلس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وعضوية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:-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5"/>
        <w:bidiVisual w:val="1"/>
        <w:tblW w:w="7585.999999999999" w:type="dxa"/>
        <w:jc w:val="right"/>
        <w:tblLayout w:type="fixed"/>
        <w:tblLook w:val="0000"/>
      </w:tblPr>
      <w:tblGrid>
        <w:gridCol w:w="1338"/>
        <w:gridCol w:w="6248"/>
        <w:tblGridChange w:id="0">
          <w:tblGrid>
            <w:gridCol w:w="1338"/>
            <w:gridCol w:w="624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الأستاذ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حسام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كرم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عضوا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الأستاذ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رضا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عضوا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المحاسب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عفت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شعبان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عضوا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السيد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رزق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درويش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أمين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صــدر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)</w:t>
      </w:r>
    </w:p>
    <w:tbl>
      <w:tblPr>
        <w:tblStyle w:val="Table6"/>
        <w:bidiVisual w:val="1"/>
        <w:tblW w:w="10326.0" w:type="dxa"/>
        <w:jc w:val="right"/>
        <w:tblLayout w:type="fixed"/>
        <w:tblLook w:val="0000"/>
      </w:tblPr>
      <w:tblGrid>
        <w:gridCol w:w="2322"/>
        <w:gridCol w:w="8004"/>
        <w:tblGridChange w:id="0">
          <w:tblGrid>
            <w:gridCol w:w="2322"/>
            <w:gridCol w:w="800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485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لسنة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2017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والمقدم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الطاعن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  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زكي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عبد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ونشاطه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سيارات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بالعموله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بالعنوان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1057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شارع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كورنيش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النيل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-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مصر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القديمه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ضد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2010/2012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/5/92/20/171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الوقائع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تتلخص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وقائع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تفصيلا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بمرفقات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بمحاسبة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الآتي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إتفاق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داخليه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بالأسس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الأتية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للإقرار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ab/>
        <w:t xml:space="preserve">1247926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يضاف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فروق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عموميه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مؤيده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مستنديا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أكثر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7% </w:t>
        <w:tab/>
        <w:t xml:space="preserve">160847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الإهلاكات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17364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المعدل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ab/>
        <w:tab/>
        <w:tab/>
        <w:t xml:space="preserve">1426137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طبيعي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فردي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والتحصيل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البيانات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الأتية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2010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2011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2012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التعاملات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 xml:space="preserve">8944303</w:t>
        <w:tab/>
        <w:tab/>
        <w:t xml:space="preserve">9715579</w:t>
        <w:tab/>
        <w:tab/>
        <w:t xml:space="preserve">8061273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المنبع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 xml:space="preserve">56961</w:t>
        <w:tab/>
        <w:tab/>
        <w:t xml:space="preserve">59393</w:t>
        <w:tab/>
        <w:tab/>
        <w:t xml:space="preserve">47256 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مقدمه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بالأسس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الأتية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2010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2011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2012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 xml:space="preserve">16083530</w:t>
        <w:tab/>
        <w:tab/>
        <w:t xml:space="preserve">20639696</w:t>
        <w:tab/>
        <w:tab/>
        <w:t xml:space="preserve">24429461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تكاليف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 xml:space="preserve">15400396</w:t>
        <w:tab/>
        <w:tab/>
        <w:t xml:space="preserve">20098108</w:t>
        <w:tab/>
        <w:tab/>
        <w:t xml:space="preserve">23785113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 xml:space="preserve">683134</w:t>
        <w:tab/>
        <w:tab/>
        <w:t xml:space="preserve">541588</w:t>
        <w:tab/>
        <w:tab/>
        <w:t xml:space="preserve">644348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 xml:space="preserve">1401862</w:t>
        <w:tab/>
        <w:tab/>
        <w:t xml:space="preserve">862700</w:t>
        <w:tab/>
        <w:tab/>
        <w:t xml:space="preserve">786286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إجمالي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 xml:space="preserve">1073996</w:t>
        <w:tab/>
        <w:tab/>
        <w:t xml:space="preserve">931652</w:t>
        <w:tab/>
        <w:tab/>
        <w:t xml:space="preserve">985526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 xml:space="preserve">1011000</w:t>
        <w:tab/>
        <w:tab/>
        <w:t xml:space="preserve">472636</w:t>
        <w:tab/>
        <w:tab/>
        <w:t xml:space="preserve">445108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يضاف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الإهلاك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 xml:space="preserve">102551</w:t>
        <w:tab/>
        <w:tab/>
        <w:t xml:space="preserve">98302</w:t>
        <w:tab/>
        <w:tab/>
        <w:t xml:space="preserve">100217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خصومات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 xml:space="preserve">76023</w:t>
        <w:tab/>
        <w:tab/>
        <w:t xml:space="preserve">78489</w:t>
        <w:tab/>
        <w:tab/>
        <w:t xml:space="preserve">96106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الإجمالي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 xml:space="preserve">1189574</w:t>
        <w:tab/>
        <w:tab/>
        <w:t xml:space="preserve">649427</w:t>
        <w:tab/>
        <w:tab/>
        <w:t xml:space="preserve">641431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 xml:space="preserve">1016323</w:t>
        <w:tab/>
        <w:tab/>
        <w:t xml:space="preserve">483152</w:t>
        <w:tab/>
        <w:tab/>
        <w:t xml:space="preserve">447518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الإعفاءات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 xml:space="preserve">497908</w:t>
        <w:tab/>
        <w:tab/>
        <w:t xml:space="preserve">401250</w:t>
        <w:tab/>
        <w:tab/>
        <w:t xml:space="preserve">390286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 xml:space="preserve">518415</w:t>
        <w:tab/>
        <w:tab/>
        <w:t xml:space="preserve">81902</w:t>
        <w:tab/>
        <w:tab/>
        <w:t xml:space="preserve">57232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ولإتمام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قامت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بإجراء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الأعمال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المرفقه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يتجزأ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وقائع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إجراء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بناءا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الأعمال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للدفاتر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والسجلات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2010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2011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2012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للإقرار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 xml:space="preserve">518416</w:t>
        <w:tab/>
        <w:tab/>
        <w:t xml:space="preserve">81901</w:t>
        <w:tab/>
        <w:tab/>
        <w:t xml:space="preserve">57232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يضاف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الباقي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الوعاء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العموميه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مؤيده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المؤيده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 xml:space="preserve">98981</w:t>
        <w:tab/>
        <w:tab/>
        <w:t xml:space="preserve">2332</w:t>
        <w:tab/>
        <w:tab/>
        <w:tab/>
        <w:t xml:space="preserve">4510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والتوزيع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 xml:space="preserve">67935</w:t>
        <w:tab/>
        <w:tab/>
        <w:t xml:space="preserve">171062</w:t>
        <w:tab/>
        <w:tab/>
        <w:t xml:space="preserve">177929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عوائد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رصيد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مدين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وليست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عوائد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معفاه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497798</w:t>
        <w:tab/>
        <w:tab/>
        <w:t xml:space="preserve">401250</w:t>
        <w:tab/>
        <w:tab/>
        <w:t xml:space="preserve">390286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سيارات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إدراجها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بالإقرار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محاسبتها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بناء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5%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تحويلها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tab/>
        <w:tab/>
        <w:tab/>
        <w:t xml:space="preserve">45658</w:t>
        <w:tab/>
        <w:tab/>
        <w:t xml:space="preserve">---</w:t>
        <w:tab/>
        <w:tab/>
        <w:tab/>
        <w:t xml:space="preserve">13163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الإهلاكات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للجدول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بمقارنة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الإهلاك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المحسوب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والمحسوب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للإقرار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13038</w:t>
        <w:tab/>
        <w:tab/>
        <w:t xml:space="preserve">10114</w:t>
        <w:tab/>
        <w:tab/>
        <w:t xml:space="preserve">1381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والتحصيل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 xml:space="preserve">--</w:t>
        <w:tab/>
        <w:tab/>
        <w:tab/>
        <w:t xml:space="preserve">605</w:t>
        <w:tab/>
        <w:tab/>
        <w:tab/>
        <w:t xml:space="preserve">13365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الإيجار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  <w:t xml:space="preserve">2400</w:t>
        <w:tab/>
        <w:tab/>
        <w:tab/>
        <w:t xml:space="preserve">43200</w:t>
        <w:tab/>
        <w:tab/>
        <w:t xml:space="preserve">---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 xml:space="preserve">1244226</w:t>
        <w:tab/>
        <w:tab/>
        <w:t xml:space="preserve">710464</w:t>
        <w:tab/>
        <w:tab/>
        <w:t xml:space="preserve">657866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بنماذج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أرقام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808/810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29/3/2016 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29/3/2016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بالموافقه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عناصر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وقيمتها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بنماذج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العوائد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الدائنة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المعفاه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قامت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إعفائها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وإضافتها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0 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إحالة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العوائد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الدائنة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الداخليه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المتخصصه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محافظة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القاهرة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تعذر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الإتفاق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فأحالته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الأمانة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2/1/2017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الاختصاص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الماثل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4/2/2018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إيهاب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وكيلا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بتوكيل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مرفق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صورتة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0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التأجيل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8/4/2018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للإطلاع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وتقديم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وكيلا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بتوكيل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مرفق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صورته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حافظة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طويت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أصل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صادرة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أبوظبي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الوطني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المعادي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22/7/2018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للقرار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36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اصدار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لاستمرار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المداولة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192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اللــــــــــجنة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والمداولة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.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اركانه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والشكلية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مقبول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وتتلخص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أوجه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الإعتراضات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أصليا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التمسك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بالإعفاء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إحتساب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الفوائد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الدائنه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الجاري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بالإقرار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إحتياطيا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التصريح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بإستخراج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المركزي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طبيعة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الجاري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الدائن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والعائد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يندرج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تصنيف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الودائع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التوفير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وأرفق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سندا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لدفاعه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أصل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ابوظبي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الوطني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المعادي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رجوعها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ودراستها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جيدا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بنظر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قامت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بمحاسبة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بناءا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إطلاعها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المجموعه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الدفترية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الموجوده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بالمنشأة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دفاتر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الأمريكيه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والمشتريات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وبناءا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بعناصر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وقيمتها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موافقه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نماذج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المتضمنه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عناصر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وقيمتها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العناصر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العاوئد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الواردة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النماذج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بالقيم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الأتية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2010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2011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2012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العوائد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الدائنه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 xml:space="preserve">497798</w:t>
        <w:tab/>
        <w:tab/>
        <w:t xml:space="preserve">401250</w:t>
        <w:tab/>
        <w:tab/>
        <w:t xml:space="preserve">390286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خصم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العوائد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الإعفاءات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بإقرارة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خضوعها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(31)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الفقرة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(5)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بإعتبارها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عوائد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مدخرات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يحصل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الأشخاص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الطبيعيون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الودائع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وحسابات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التوفير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بالبنوك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المسجله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جمهورية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العربيه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الإشارة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أثناء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يفيد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المدرج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العوائد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الدائنة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50967141550(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أبوظبي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الوطني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التوفير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ينطبق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الإعفاء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المقصود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قامت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بإضافة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إجمالي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بإعتبارة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الإعفاءات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المدرجه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(31) 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وإستندت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إحتساب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رصيد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حركة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والشراء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توفير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أوحساب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إدخاري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ودائع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0 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وتمسك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خضوع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(31)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الفقرة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(5)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2005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(366)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التجارة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1999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الفقرة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لايجوز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العوائد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جاريا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طالب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خضوعها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أنواع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أسوة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بكافة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الخدمات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المصرفيه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البنوك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بتقديمها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لعملائها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0 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أبوظبي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الوطني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المعادي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البنوك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الخاضعه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لإشراف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ورقابة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المركزي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ويشهد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بإعتبارة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مؤسسه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فرديه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يحتفظ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بحساب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دائن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وعائد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الخدمات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المصرفيه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بتقديمها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لعملائه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ولايتم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إخضاعها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لآي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أنواع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إسوة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بكافة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الخدمات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المصرفيه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البنوك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بتقديمها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لعملائها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0 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وبناءا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وإستنادا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الفقرة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الخامسة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(31)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وتنص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العوائد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يحصل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الأشخاص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الطبيعيون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الودائع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وحسابات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التوفير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بالبنوك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المسجله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جمهورية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العربيه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وشهادات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الإستثمار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والإدخار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والإيداع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تصدرها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البنوك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الودائع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وحسابات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التوفير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صناديق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البريد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وشهادات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الإيداع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يصدرها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المركزي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ابوظبي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الوطني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البنوك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الخاضعه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لإشراف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ورقابة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المركزي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ينطبق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الفقرة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الخامسه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(31)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بإعفاء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العوائد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يحصل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ويؤيد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الشهاده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ظبي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الوطني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الحسابات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الخدمات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المصرفيه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بتقديمها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لعملائة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إخضاعها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لآي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أنواع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إسوة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بكافة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الخدمات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المصرفيه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تقدمها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البنوك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لعملائها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0 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فإن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بإلغاء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إضافة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العوائد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رصيد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بإعتبارة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الإعفاءات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المدرجه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بالفقرة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الخامسه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(31)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بالحيثيات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وتأسيسا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يعدل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ليصبح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وافق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بناءا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إخطارات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نماذج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عوائد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رصيد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2010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2011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2012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 xml:space="preserve">1244226</w:t>
        <w:tab/>
        <w:tab/>
        <w:t xml:space="preserve">710464</w:t>
        <w:tab/>
        <w:tab/>
        <w:t xml:space="preserve">657866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يخصم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(-)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عوائد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معفاه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497798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401250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390286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  <w:t xml:space="preserve">746428</w:t>
        <w:tab/>
        <w:tab/>
        <w:t xml:space="preserve">309214</w:t>
        <w:tab/>
        <w:tab/>
        <w:t xml:space="preserve">267580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288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فلهذه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الأســــباب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ليصبح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وافق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بناءا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إخطارات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نماذج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746428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سبعمائة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وأربعون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وأربعمائة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ثمانية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وعشرون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309214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ثلاثمائة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وتسعه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ومائتان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وأربعة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2012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267580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مائتان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وستون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وخمسمائة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وثمانون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وبإلغاء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إضافة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العوائد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رصيد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بحيثيات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ووفقا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لمنطوقه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0 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السكرتارية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0 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أمين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رئيــس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اللــجنة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1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شحاته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أبوزيد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814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